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3016DD" w:rsidP="0080766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07660" w:rsidRPr="00807660">
              <w:rPr>
                <w:rFonts w:asciiTheme="majorHAnsi" w:hAnsiTheme="majorHAnsi" w:cs="Arial"/>
                <w:b/>
                <w:sz w:val="18"/>
                <w:szCs w:val="18"/>
              </w:rPr>
              <w:t>Bioanalytical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016D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EB22C3">
              <w:rPr>
                <w:rFonts w:asciiTheme="majorHAnsi" w:hAnsiTheme="majorHAnsi" w:cs="Arial"/>
                <w:b/>
                <w:sz w:val="18"/>
                <w:szCs w:val="18"/>
              </w:rPr>
              <w:t>BC</w:t>
            </w:r>
            <w:bookmarkStart w:id="0" w:name="_GoBack"/>
            <w:bookmarkEnd w:id="0"/>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016D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807660">
              <w:rPr>
                <w:rFonts w:asciiTheme="majorHAnsi" w:hAnsiTheme="majorHAnsi" w:cs="Arial"/>
                <w:b/>
                <w:sz w:val="18"/>
                <w:szCs w:val="18"/>
              </w:rPr>
              <w:t>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016D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807660">
              <w:rPr>
                <w:rFonts w:asciiTheme="majorHAnsi" w:hAnsiTheme="majorHAnsi" w:cs="Arial"/>
                <w:b/>
                <w:sz w:val="18"/>
                <w:szCs w:val="18"/>
              </w:rPr>
              <w:t>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3016DD">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CD72FF">
                    <w:rPr>
                      <w:rFonts w:asciiTheme="majorHAnsi" w:hAnsiTheme="majorHAnsi" w:cs="Arial"/>
                      <w:b/>
                      <w:sz w:val="18"/>
                      <w:szCs w:val="18"/>
                    </w:rPr>
                  </w:r>
                  <w:r w:rsidR="00CD72FF">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016DD" w:rsidP="0080766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0766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016D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0766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016D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0766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3016D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0766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rsidTr="004E556A">
        <w:trPr>
          <w:trHeight w:val="397"/>
        </w:trPr>
        <w:tc>
          <w:tcPr>
            <w:tcW w:w="7492" w:type="dxa"/>
            <w:gridSpan w:val="29"/>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3016D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0766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3016D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3016D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07660">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3016D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3016DD" w:rsidP="0080766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07660">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3016D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07660">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3016D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3016DD" w:rsidP="0080766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07660">
              <w:rPr>
                <w:rFonts w:asciiTheme="majorHAnsi" w:hAnsiTheme="majorHAnsi"/>
                <w:b/>
                <w:sz w:val="18"/>
                <w:szCs w:val="18"/>
              </w:rPr>
              <w:t>83,86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3016D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07660">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3016D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3016DD" w:rsidP="0080766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07660">
              <w:rPr>
                <w:rFonts w:asciiTheme="majorHAnsi" w:hAnsiTheme="majorHAnsi" w:cs="Arial"/>
                <w:b/>
                <w:sz w:val="18"/>
                <w:szCs w:val="18"/>
              </w:rPr>
              <w:t>117,61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rsidTr="00DA2BAA">
        <w:trPr>
          <w:trHeight w:val="113"/>
        </w:trPr>
        <w:tc>
          <w:tcPr>
            <w:tcW w:w="1799" w:type="dxa"/>
            <w:gridSpan w:val="5"/>
            <w:shd w:val="clear" w:color="auto" w:fill="auto"/>
            <w:vAlign w:val="center"/>
          </w:tcPr>
          <w:p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rsidR="004E556A" w:rsidRPr="00B96B4F" w:rsidRDefault="004E556A" w:rsidP="00DA2BAA">
            <w:pPr>
              <w:pStyle w:val="NoSpacing"/>
              <w:rPr>
                <w:rFonts w:asciiTheme="majorHAnsi" w:hAnsiTheme="majorHAnsi" w:cs="Arial"/>
                <w:b/>
                <w:sz w:val="10"/>
                <w:szCs w:val="10"/>
              </w:rPr>
            </w:pPr>
          </w:p>
        </w:tc>
      </w:tr>
      <w:tr w:rsidR="004E556A" w:rsidRPr="00B96B4F"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3016DD"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00807660">
              <w:rPr>
                <w:rFonts w:asciiTheme="majorHAnsi" w:hAnsiTheme="majorHAnsi"/>
                <w:b/>
                <w:sz w:val="18"/>
                <w:szCs w:val="18"/>
              </w:rPr>
              <w:t>0</w:t>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3016DD"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016DD" w:rsidP="0018457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84577" w:rsidRPr="00184577">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016D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84577" w:rsidRPr="00184577">
              <w:rPr>
                <w:rFonts w:asciiTheme="majorHAnsi" w:hAnsiTheme="majorHAnsi" w:cs="Arial"/>
                <w:b/>
                <w:sz w:val="18"/>
                <w:szCs w:val="18"/>
              </w:rPr>
              <w:t>Chemistry / Chemistry / Specialization: Medicinal 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3016DD" w:rsidP="002810D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810D2" w:rsidRPr="002810D2">
              <w:rPr>
                <w:rFonts w:asciiTheme="majorHAnsi" w:hAnsiTheme="majorHAnsi" w:cs="Arial"/>
                <w:b/>
                <w:sz w:val="18"/>
                <w:szCs w:val="18"/>
              </w:rPr>
              <w:t>Mersiha Suljkanović, PhD,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3016DD" w:rsidP="0018457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84577" w:rsidRPr="00184577">
              <w:rPr>
                <w:rFonts w:asciiTheme="majorHAnsi" w:hAnsiTheme="majorHAnsi" w:cs="Arial"/>
                <w:b/>
                <w:sz w:val="18"/>
                <w:szCs w:val="18"/>
              </w:rPr>
              <w:t xml:space="preserve">Introduction of students to the fundamentals of bioanalytical chemistry; the application of instrumental methods in the analysis of biological materials; biosensors; the chromatography of biomolecules; and the validation of new bioanalytical </w:t>
            </w:r>
            <w:r w:rsidR="00184577" w:rsidRPr="00184577">
              <w:rPr>
                <w:rFonts w:asciiTheme="majorHAnsi" w:hAnsiTheme="majorHAnsi" w:cs="Arial"/>
                <w:b/>
                <w:sz w:val="18"/>
                <w:szCs w:val="18"/>
              </w:rPr>
              <w:lastRenderedPageBreak/>
              <w:t>methods.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3016DD" w:rsidP="0018457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84577" w:rsidRPr="00184577">
              <w:rPr>
                <w:rFonts w:asciiTheme="majorHAnsi" w:hAnsiTheme="majorHAnsi" w:cs="Arial"/>
                <w:b/>
                <w:sz w:val="18"/>
                <w:szCs w:val="18"/>
              </w:rPr>
              <w:t>Upon successful completion of the course, students will be able to advance their knowledge of methods and procedures for the analysis of various types of biological materials and to apply this knowledge in independent scientific research (e.g., to perform the appropriate selection of analytical methods and conduct analyses in accordance with specified requirements).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3016DD" w:rsidP="0018457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84577" w:rsidRPr="00184577">
              <w:rPr>
                <w:rFonts w:asciiTheme="majorHAnsi" w:hAnsiTheme="majorHAnsi" w:cs="Arial"/>
                <w:b/>
                <w:sz w:val="18"/>
                <w:szCs w:val="18"/>
              </w:rPr>
              <w:t>Basic principles of bioanalytical chemistry. Areas of application in chemical analysis. Methods for sampling biological materials and sample preparation techniques. Methods of instrumental analysis of biological materials. Miniaturization and separation techniques. Sensors (optical, electrochemical, and biosensors). On-line and in vivo measurements. MS and NMR in bioanalytical chemistry. Hyphenated techniques. Chromatographic techniques. Validation of new bioanalytical methods.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84577" w:rsidRPr="00184577" w:rsidRDefault="003016DD" w:rsidP="0018457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84577" w:rsidRPr="00184577">
              <w:rPr>
                <w:rFonts w:asciiTheme="majorHAnsi" w:hAnsiTheme="majorHAnsi" w:cs="Arial"/>
                <w:b/>
                <w:sz w:val="18"/>
                <w:szCs w:val="18"/>
              </w:rPr>
              <w:t>For the purpose of effective course delivery and the achievement of the expected learning outcomes and student competencies by the end of the semester, various teaching methods are employed:</w:t>
            </w:r>
          </w:p>
          <w:p w:rsidR="00184577" w:rsidRPr="00184577" w:rsidRDefault="00184577" w:rsidP="00184577">
            <w:pPr>
              <w:pStyle w:val="NoSpacing"/>
              <w:rPr>
                <w:rFonts w:asciiTheme="majorHAnsi" w:hAnsiTheme="majorHAnsi" w:cs="Arial"/>
                <w:b/>
                <w:sz w:val="18"/>
                <w:szCs w:val="18"/>
              </w:rPr>
            </w:pPr>
            <w:r w:rsidRPr="00184577">
              <w:rPr>
                <w:rFonts w:asciiTheme="majorHAnsi" w:hAnsiTheme="majorHAnsi" w:cs="Arial"/>
                <w:b/>
                <w:sz w:val="18"/>
                <w:szCs w:val="18"/>
              </w:rPr>
              <w:t>– lectures (L),</w:t>
            </w:r>
          </w:p>
          <w:p w:rsidR="00184577" w:rsidRPr="00184577" w:rsidRDefault="00184577" w:rsidP="00184577">
            <w:pPr>
              <w:pStyle w:val="NoSpacing"/>
              <w:rPr>
                <w:rFonts w:asciiTheme="majorHAnsi" w:hAnsiTheme="majorHAnsi" w:cs="Arial"/>
                <w:b/>
                <w:sz w:val="18"/>
                <w:szCs w:val="18"/>
              </w:rPr>
            </w:pPr>
            <w:r w:rsidRPr="00184577">
              <w:rPr>
                <w:rFonts w:asciiTheme="majorHAnsi" w:hAnsiTheme="majorHAnsi" w:cs="Arial"/>
                <w:b/>
                <w:sz w:val="18"/>
                <w:szCs w:val="18"/>
              </w:rPr>
              <w:t>– team/group projects (seminar papers) (GP), and</w:t>
            </w:r>
          </w:p>
          <w:p w:rsidR="00CB72ED" w:rsidRPr="00B96B4F" w:rsidRDefault="00184577" w:rsidP="00184577">
            <w:pPr>
              <w:pStyle w:val="NoSpacing"/>
              <w:rPr>
                <w:rFonts w:asciiTheme="majorHAnsi" w:hAnsiTheme="majorHAnsi" w:cs="Arial"/>
                <w:b/>
                <w:sz w:val="18"/>
                <w:szCs w:val="18"/>
              </w:rPr>
            </w:pPr>
            <w:r w:rsidRPr="00184577">
              <w:rPr>
                <w:rFonts w:asciiTheme="majorHAnsi" w:hAnsiTheme="majorHAnsi" w:cs="Arial"/>
                <w:b/>
                <w:sz w:val="18"/>
                <w:szCs w:val="18"/>
              </w:rPr>
              <w:t>– short tests covering the essential content of the completed material.</w:t>
            </w:r>
            <w:r w:rsidR="00FB48B6" w:rsidRPr="00B96B4F">
              <w:rPr>
                <w:rFonts w:asciiTheme="majorHAnsi" w:hAnsiTheme="majorHAnsi" w:cs="Arial"/>
                <w:b/>
                <w:sz w:val="18"/>
                <w:szCs w:val="18"/>
              </w:rPr>
              <w:t>     </w:t>
            </w:r>
            <w:r w:rsidR="003016DD"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84577" w:rsidRPr="00184577" w:rsidRDefault="003016DD" w:rsidP="0018457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84577" w:rsidRPr="00184577">
              <w:rPr>
                <w:rFonts w:asciiTheme="majorHAnsi" w:hAnsiTheme="majorHAnsi" w:cs="Arial"/>
                <w:b/>
                <w:sz w:val="18"/>
                <w:szCs w:val="18"/>
              </w:rPr>
              <w:t>Assessment of student knowledge is carried out using the following methods: tests (midterm exams), a seminar paper, and a final exam.</w:t>
            </w:r>
          </w:p>
          <w:p w:rsidR="00184577" w:rsidRPr="00184577" w:rsidRDefault="00184577" w:rsidP="00184577">
            <w:pPr>
              <w:pStyle w:val="NoSpacing"/>
              <w:rPr>
                <w:rFonts w:asciiTheme="majorHAnsi" w:hAnsiTheme="majorHAnsi" w:cs="Arial"/>
                <w:b/>
                <w:sz w:val="18"/>
                <w:szCs w:val="18"/>
              </w:rPr>
            </w:pPr>
            <w:r w:rsidRPr="00184577">
              <w:rPr>
                <w:rFonts w:asciiTheme="majorHAnsi" w:hAnsiTheme="majorHAnsi" w:cs="Arial"/>
                <w:b/>
                <w:sz w:val="18"/>
                <w:szCs w:val="18"/>
              </w:rPr>
              <w:t>– Student activity during lectures: maximum 5 points.</w:t>
            </w:r>
          </w:p>
          <w:p w:rsidR="00184577" w:rsidRPr="00184577" w:rsidRDefault="00184577" w:rsidP="00184577">
            <w:pPr>
              <w:pStyle w:val="NoSpacing"/>
              <w:rPr>
                <w:rFonts w:asciiTheme="majorHAnsi" w:hAnsiTheme="majorHAnsi" w:cs="Arial"/>
                <w:b/>
                <w:sz w:val="18"/>
                <w:szCs w:val="18"/>
              </w:rPr>
            </w:pPr>
            <w:r w:rsidRPr="00184577">
              <w:rPr>
                <w:rFonts w:asciiTheme="majorHAnsi" w:hAnsiTheme="majorHAnsi" w:cs="Arial"/>
                <w:b/>
                <w:sz w:val="18"/>
                <w:szCs w:val="18"/>
              </w:rPr>
              <w:t>– Two tests (first and second midterm): maximum 2 × 15 points.</w:t>
            </w:r>
          </w:p>
          <w:p w:rsidR="00184577" w:rsidRPr="00184577" w:rsidRDefault="00184577" w:rsidP="00184577">
            <w:pPr>
              <w:pStyle w:val="NoSpacing"/>
              <w:rPr>
                <w:rFonts w:asciiTheme="majorHAnsi" w:hAnsiTheme="majorHAnsi" w:cs="Arial"/>
                <w:b/>
                <w:sz w:val="18"/>
                <w:szCs w:val="18"/>
              </w:rPr>
            </w:pPr>
            <w:r w:rsidRPr="00184577">
              <w:rPr>
                <w:rFonts w:asciiTheme="majorHAnsi" w:hAnsiTheme="majorHAnsi" w:cs="Arial"/>
                <w:b/>
                <w:sz w:val="18"/>
                <w:szCs w:val="18"/>
              </w:rPr>
              <w:t>– Seminar paper within the course area: 15 points.</w:t>
            </w:r>
          </w:p>
          <w:p w:rsidR="00184577" w:rsidRPr="00184577" w:rsidRDefault="00184577" w:rsidP="00184577">
            <w:pPr>
              <w:pStyle w:val="NoSpacing"/>
              <w:rPr>
                <w:rFonts w:asciiTheme="majorHAnsi" w:hAnsiTheme="majorHAnsi" w:cs="Arial"/>
                <w:b/>
                <w:sz w:val="18"/>
                <w:szCs w:val="18"/>
              </w:rPr>
            </w:pPr>
            <w:r w:rsidRPr="00184577">
              <w:rPr>
                <w:rFonts w:asciiTheme="majorHAnsi" w:hAnsiTheme="majorHAnsi" w:cs="Arial"/>
                <w:b/>
                <w:sz w:val="18"/>
                <w:szCs w:val="18"/>
              </w:rPr>
              <w:t>– Final exam: maximum 50 points.</w:t>
            </w:r>
          </w:p>
          <w:p w:rsidR="00CB72ED" w:rsidRPr="00B96B4F" w:rsidRDefault="00184577" w:rsidP="00184577">
            <w:pPr>
              <w:pStyle w:val="NoSpacing"/>
              <w:rPr>
                <w:rFonts w:asciiTheme="majorHAnsi" w:hAnsiTheme="majorHAnsi" w:cs="Arial"/>
                <w:b/>
                <w:sz w:val="18"/>
                <w:szCs w:val="18"/>
              </w:rPr>
            </w:pPr>
            <w:r w:rsidRPr="00184577">
              <w:rPr>
                <w:rFonts w:asciiTheme="majorHAnsi" w:hAnsiTheme="majorHAnsi" w:cs="Arial"/>
                <w:b/>
                <w:sz w:val="18"/>
                <w:szCs w:val="18"/>
              </w:rPr>
              <w:t>To pass the course, a student must achieve a minimum of 55 cumulative points.</w:t>
            </w:r>
            <w:r w:rsidR="00FB48B6" w:rsidRPr="00B96B4F">
              <w:rPr>
                <w:rFonts w:asciiTheme="majorHAnsi" w:hAnsiTheme="majorHAnsi" w:cs="Arial"/>
                <w:b/>
                <w:sz w:val="18"/>
                <w:szCs w:val="18"/>
              </w:rPr>
              <w:t>  </w:t>
            </w:r>
            <w:r w:rsidR="003016DD"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84577" w:rsidRPr="00184577" w:rsidRDefault="003016DD" w:rsidP="0018457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84577" w:rsidRPr="00184577">
              <w:rPr>
                <w:rFonts w:asciiTheme="majorHAnsi" w:hAnsiTheme="majorHAnsi" w:cs="Arial"/>
                <w:b/>
                <w:sz w:val="18"/>
                <w:szCs w:val="18"/>
              </w:rPr>
              <w:t>To pass the course, a student must achieve a minimum of 55 cumulative points.</w:t>
            </w:r>
          </w:p>
          <w:p w:rsidR="00184577" w:rsidRPr="00184577" w:rsidRDefault="00184577" w:rsidP="00184577">
            <w:pPr>
              <w:pStyle w:val="NoSpacing"/>
              <w:rPr>
                <w:rFonts w:asciiTheme="majorHAnsi" w:hAnsiTheme="majorHAnsi" w:cs="Arial"/>
                <w:b/>
                <w:sz w:val="18"/>
                <w:szCs w:val="18"/>
              </w:rPr>
            </w:pPr>
            <w:r w:rsidRPr="00184577">
              <w:rPr>
                <w:rFonts w:asciiTheme="majorHAnsi" w:hAnsiTheme="majorHAnsi" w:cs="Arial"/>
                <w:b/>
                <w:sz w:val="18"/>
                <w:szCs w:val="18"/>
              </w:rPr>
              <w:t>Grading system:</w:t>
            </w:r>
          </w:p>
          <w:p w:rsidR="00184577" w:rsidRPr="00184577" w:rsidRDefault="00184577" w:rsidP="00184577">
            <w:pPr>
              <w:pStyle w:val="NoSpacing"/>
              <w:rPr>
                <w:rFonts w:asciiTheme="majorHAnsi" w:hAnsiTheme="majorHAnsi" w:cs="Arial"/>
                <w:b/>
                <w:sz w:val="18"/>
                <w:szCs w:val="18"/>
              </w:rPr>
            </w:pPr>
            <w:r w:rsidRPr="00184577">
              <w:rPr>
                <w:rFonts w:asciiTheme="majorHAnsi" w:hAnsiTheme="majorHAnsi" w:cs="Arial"/>
                <w:b/>
                <w:sz w:val="18"/>
                <w:szCs w:val="18"/>
              </w:rPr>
              <w:t>Grade six (6): 55–64 points</w:t>
            </w:r>
          </w:p>
          <w:p w:rsidR="00184577" w:rsidRPr="00184577" w:rsidRDefault="00184577" w:rsidP="00184577">
            <w:pPr>
              <w:pStyle w:val="NoSpacing"/>
              <w:rPr>
                <w:rFonts w:asciiTheme="majorHAnsi" w:hAnsiTheme="majorHAnsi" w:cs="Arial"/>
                <w:b/>
                <w:sz w:val="18"/>
                <w:szCs w:val="18"/>
              </w:rPr>
            </w:pPr>
            <w:r w:rsidRPr="00184577">
              <w:rPr>
                <w:rFonts w:asciiTheme="majorHAnsi" w:hAnsiTheme="majorHAnsi" w:cs="Arial"/>
                <w:b/>
                <w:sz w:val="18"/>
                <w:szCs w:val="18"/>
              </w:rPr>
              <w:t>Grade seven (7): 65–74 points</w:t>
            </w:r>
          </w:p>
          <w:p w:rsidR="00184577" w:rsidRPr="00184577" w:rsidRDefault="00184577" w:rsidP="00184577">
            <w:pPr>
              <w:pStyle w:val="NoSpacing"/>
              <w:rPr>
                <w:rFonts w:asciiTheme="majorHAnsi" w:hAnsiTheme="majorHAnsi" w:cs="Arial"/>
                <w:b/>
                <w:sz w:val="18"/>
                <w:szCs w:val="18"/>
              </w:rPr>
            </w:pPr>
            <w:r w:rsidRPr="00184577">
              <w:rPr>
                <w:rFonts w:asciiTheme="majorHAnsi" w:hAnsiTheme="majorHAnsi" w:cs="Arial"/>
                <w:b/>
                <w:sz w:val="18"/>
                <w:szCs w:val="18"/>
              </w:rPr>
              <w:t>Grade eight (8): 75–84 points</w:t>
            </w:r>
          </w:p>
          <w:p w:rsidR="00184577" w:rsidRPr="00184577" w:rsidRDefault="00184577" w:rsidP="00184577">
            <w:pPr>
              <w:pStyle w:val="NoSpacing"/>
              <w:rPr>
                <w:rFonts w:asciiTheme="majorHAnsi" w:hAnsiTheme="majorHAnsi" w:cs="Arial"/>
                <w:b/>
                <w:sz w:val="18"/>
                <w:szCs w:val="18"/>
              </w:rPr>
            </w:pPr>
            <w:r w:rsidRPr="00184577">
              <w:rPr>
                <w:rFonts w:asciiTheme="majorHAnsi" w:hAnsiTheme="majorHAnsi" w:cs="Arial"/>
                <w:b/>
                <w:sz w:val="18"/>
                <w:szCs w:val="18"/>
              </w:rPr>
              <w:t>Grade nine (9): 85–94 points</w:t>
            </w:r>
          </w:p>
          <w:p w:rsidR="00CB72ED" w:rsidRPr="00B96B4F" w:rsidRDefault="00184577" w:rsidP="00184577">
            <w:pPr>
              <w:pStyle w:val="NoSpacing"/>
              <w:rPr>
                <w:rFonts w:asciiTheme="majorHAnsi" w:hAnsiTheme="majorHAnsi" w:cs="Arial"/>
                <w:b/>
                <w:sz w:val="18"/>
                <w:szCs w:val="18"/>
              </w:rPr>
            </w:pPr>
            <w:r w:rsidRPr="00184577">
              <w:rPr>
                <w:rFonts w:asciiTheme="majorHAnsi" w:hAnsiTheme="majorHAnsi" w:cs="Arial"/>
                <w:b/>
                <w:sz w:val="18"/>
                <w:szCs w:val="18"/>
              </w:rPr>
              <w:t>Grade ten (10): 95–100 points**</w:t>
            </w:r>
            <w:r w:rsidR="00FB48B6" w:rsidRPr="00B96B4F">
              <w:rPr>
                <w:rFonts w:asciiTheme="majorHAnsi" w:hAnsiTheme="majorHAnsi" w:cs="Arial"/>
                <w:b/>
                <w:sz w:val="18"/>
                <w:szCs w:val="18"/>
              </w:rPr>
              <w:t>   </w:t>
            </w:r>
            <w:r w:rsidR="003016DD"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84577" w:rsidRPr="00184577" w:rsidRDefault="003016DD" w:rsidP="0018457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84577" w:rsidRPr="00184577">
              <w:rPr>
                <w:rFonts w:asciiTheme="majorHAnsi" w:hAnsiTheme="majorHAnsi" w:cs="Arial"/>
                <w:b/>
                <w:sz w:val="18"/>
                <w:szCs w:val="18"/>
              </w:rPr>
              <w:t>Ugo. P., Marafini. P., Menaghello. M.,(2021) Bioanalytical Chemistry: From Biomolecular Recognition to Nanobiosensing. De Gruyter.</w:t>
            </w:r>
          </w:p>
          <w:p w:rsidR="00CB72ED" w:rsidRPr="00B96B4F" w:rsidRDefault="00184577" w:rsidP="00184577">
            <w:pPr>
              <w:pStyle w:val="NoSpacing"/>
              <w:rPr>
                <w:rFonts w:asciiTheme="majorHAnsi" w:hAnsiTheme="majorHAnsi" w:cs="Arial"/>
                <w:b/>
                <w:sz w:val="18"/>
                <w:szCs w:val="18"/>
              </w:rPr>
            </w:pPr>
            <w:r w:rsidRPr="00184577">
              <w:rPr>
                <w:rFonts w:asciiTheme="majorHAnsi" w:hAnsiTheme="majorHAnsi" w:cs="Arial"/>
                <w:b/>
                <w:sz w:val="18"/>
                <w:szCs w:val="18"/>
              </w:rPr>
              <w:t>Mikkelsen, S. R. Corton, E. (2016) Bioanalytical Chemistry. Wiley and Sons. Inc. Hoboken. New Jersey</w:t>
            </w:r>
            <w:r w:rsidR="00FB48B6" w:rsidRPr="00B96B4F">
              <w:rPr>
                <w:rFonts w:asciiTheme="majorHAnsi" w:hAnsiTheme="majorHAnsi" w:cs="Arial"/>
                <w:b/>
                <w:sz w:val="18"/>
                <w:szCs w:val="18"/>
              </w:rPr>
              <w:t>    </w:t>
            </w:r>
            <w:r w:rsidR="003016DD"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84577" w:rsidRPr="00184577" w:rsidRDefault="003016DD" w:rsidP="0018457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84577" w:rsidRPr="00184577">
              <w:rPr>
                <w:rFonts w:asciiTheme="majorHAnsi" w:hAnsiTheme="majorHAnsi" w:cs="Arial"/>
                <w:b/>
                <w:sz w:val="18"/>
                <w:szCs w:val="18"/>
              </w:rPr>
              <w:t>Manz, A. Pamme, N. Iossifidis D. (2004) Bioanalytical Chemistry. Imperial College Press. London</w:t>
            </w:r>
          </w:p>
          <w:p w:rsidR="00CB72ED" w:rsidRPr="00B96B4F" w:rsidRDefault="00184577" w:rsidP="00184577">
            <w:pPr>
              <w:pStyle w:val="NoSpacing"/>
              <w:rPr>
                <w:rFonts w:asciiTheme="majorHAnsi" w:hAnsiTheme="majorHAnsi" w:cs="Arial"/>
                <w:b/>
                <w:sz w:val="18"/>
                <w:szCs w:val="18"/>
              </w:rPr>
            </w:pPr>
            <w:r w:rsidRPr="00184577">
              <w:rPr>
                <w:rFonts w:asciiTheme="majorHAnsi" w:hAnsiTheme="majorHAnsi" w:cs="Arial"/>
                <w:b/>
                <w:sz w:val="18"/>
                <w:szCs w:val="18"/>
              </w:rPr>
              <w:t>Cooper, J. Cass, T. (2004) Biosensors. Oxford Universit</w:t>
            </w:r>
            <w:r>
              <w:rPr>
                <w:rFonts w:asciiTheme="majorHAnsi" w:hAnsiTheme="majorHAnsi" w:cs="Arial"/>
                <w:b/>
                <w:sz w:val="18"/>
                <w:szCs w:val="18"/>
              </w:rPr>
              <w:t>y</w:t>
            </w:r>
            <w:r w:rsidR="00FB48B6" w:rsidRPr="00B96B4F">
              <w:rPr>
                <w:rFonts w:asciiTheme="majorHAnsi" w:hAnsiTheme="majorHAnsi" w:cs="Arial"/>
                <w:b/>
                <w:sz w:val="18"/>
                <w:szCs w:val="18"/>
              </w:rPr>
              <w:t>    </w:t>
            </w:r>
            <w:r w:rsidR="003016DD"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3016D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84577">
              <w:rPr>
                <w:rFonts w:asciiTheme="majorHAnsi" w:hAnsiTheme="majorHAnsi" w:cs="Arial"/>
                <w:b/>
                <w:sz w:val="18"/>
                <w:szCs w:val="18"/>
              </w:rPr>
              <w: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016DD" w:rsidP="003A258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84577">
              <w:rPr>
                <w:rFonts w:asciiTheme="majorHAnsi" w:hAnsiTheme="majorHAnsi" w:cs="Arial"/>
                <w:b/>
                <w:sz w:val="18"/>
                <w:szCs w:val="18"/>
              </w:rPr>
              <w:t>202</w:t>
            </w:r>
            <w:r w:rsidR="003A2588">
              <w:rPr>
                <w:rFonts w:asciiTheme="majorHAnsi" w:hAnsiTheme="majorHAnsi" w:cs="Arial"/>
                <w:b/>
                <w:sz w:val="18"/>
                <w:szCs w:val="18"/>
              </w:rPr>
              <w:t>4</w:t>
            </w:r>
            <w:r w:rsidR="00184577">
              <w:rPr>
                <w:rFonts w:asciiTheme="majorHAnsi" w:hAnsiTheme="majorHAnsi" w:cs="Arial"/>
                <w:b/>
                <w:sz w:val="18"/>
                <w:szCs w:val="18"/>
              </w:rPr>
              <w:t>/2</w:t>
            </w:r>
            <w:r w:rsidR="003A2588">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3016DD">
            <w:pPr>
              <w:pStyle w:val="NoSpacing"/>
              <w:jc w:val="center"/>
              <w:rPr>
                <w:rFonts w:asciiTheme="majorHAnsi" w:hAnsiTheme="majorHAnsi" w:cs="Arial"/>
                <w:b/>
                <w:sz w:val="18"/>
                <w:szCs w:val="18"/>
              </w:rPr>
            </w:pPr>
            <w:r w:rsidRPr="00417A07">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417A07">
              <w:rPr>
                <w:rFonts w:asciiTheme="majorHAnsi" w:hAnsiTheme="majorHAnsi" w:cs="Arial"/>
                <w:b/>
                <w:sz w:val="18"/>
                <w:szCs w:val="18"/>
              </w:rPr>
            </w:r>
            <w:r w:rsidRPr="00417A07">
              <w:rPr>
                <w:rFonts w:asciiTheme="majorHAnsi" w:hAnsiTheme="majorHAnsi" w:cs="Arial"/>
                <w:b/>
                <w:sz w:val="18"/>
                <w:szCs w:val="18"/>
              </w:rPr>
              <w:fldChar w:fldCharType="separate"/>
            </w:r>
            <w:r w:rsidR="00FB48B6" w:rsidRPr="00EB22C3">
              <w:rPr>
                <w:rFonts w:asciiTheme="majorHAnsi" w:hAnsiTheme="majorHAnsi" w:cs="Arial"/>
                <w:b/>
                <w:spacing w:val="215"/>
                <w:sz w:val="18"/>
                <w:szCs w:val="18"/>
              </w:rPr>
              <w:t>    </w:t>
            </w:r>
            <w:r w:rsidR="00FB48B6" w:rsidRPr="00EB22C3">
              <w:rPr>
                <w:rFonts w:asciiTheme="majorHAnsi" w:hAnsiTheme="majorHAnsi" w:cs="Arial"/>
                <w:b/>
                <w:spacing w:val="3"/>
                <w:sz w:val="18"/>
                <w:szCs w:val="18"/>
              </w:rPr>
              <w:t> </w:t>
            </w:r>
            <w:r w:rsidRPr="00EB22C3">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72FF" w:rsidRDefault="00CD72FF">
      <w:pPr>
        <w:spacing w:line="240" w:lineRule="auto"/>
      </w:pPr>
      <w:r>
        <w:separator/>
      </w:r>
    </w:p>
  </w:endnote>
  <w:endnote w:type="continuationSeparator" w:id="0">
    <w:p w:rsidR="00CD72FF" w:rsidRDefault="00CD72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3016DD">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EB22C3">
            <w:rPr>
              <w:rFonts w:ascii="Cambria" w:hAnsi="Cambria" w:cs="Calibri"/>
              <w:noProof/>
              <w:sz w:val="16"/>
              <w:szCs w:val="16"/>
            </w:rPr>
            <w:t>27.4.2026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3016DD">
            <w:rPr>
              <w:rFonts w:ascii="Cambria" w:hAnsi="Cambria" w:cs="Calibri"/>
              <w:sz w:val="16"/>
              <w:szCs w:val="16"/>
            </w:rPr>
            <w:fldChar w:fldCharType="begin"/>
          </w:r>
          <w:r w:rsidR="00FB48B6">
            <w:rPr>
              <w:rFonts w:ascii="Cambria" w:hAnsi="Cambria" w:cs="Calibri"/>
              <w:sz w:val="16"/>
              <w:szCs w:val="16"/>
            </w:rPr>
            <w:instrText xml:space="preserve"> PAGE </w:instrText>
          </w:r>
          <w:r w:rsidR="003016DD">
            <w:rPr>
              <w:rFonts w:ascii="Cambria" w:hAnsi="Cambria" w:cs="Calibri"/>
              <w:sz w:val="16"/>
              <w:szCs w:val="16"/>
            </w:rPr>
            <w:fldChar w:fldCharType="separate"/>
          </w:r>
          <w:r w:rsidR="00EB22C3">
            <w:rPr>
              <w:rFonts w:ascii="Cambria" w:hAnsi="Cambria" w:cs="Calibri"/>
              <w:noProof/>
              <w:sz w:val="16"/>
              <w:szCs w:val="16"/>
            </w:rPr>
            <w:t>1</w:t>
          </w:r>
          <w:r w:rsidR="003016DD">
            <w:rPr>
              <w:rFonts w:ascii="Cambria" w:hAnsi="Cambria" w:cs="Calibri"/>
              <w:sz w:val="16"/>
              <w:szCs w:val="16"/>
            </w:rPr>
            <w:fldChar w:fldCharType="end"/>
          </w:r>
          <w:r w:rsidR="00FB48B6">
            <w:rPr>
              <w:rFonts w:ascii="Cambria" w:hAnsi="Cambria" w:cs="Calibri"/>
              <w:sz w:val="16"/>
              <w:szCs w:val="16"/>
            </w:rPr>
            <w:t>/</w:t>
          </w:r>
          <w:r w:rsidR="003016DD">
            <w:rPr>
              <w:rFonts w:ascii="Cambria" w:hAnsi="Cambria" w:cs="Calibri"/>
              <w:sz w:val="16"/>
              <w:szCs w:val="16"/>
            </w:rPr>
            <w:fldChar w:fldCharType="begin"/>
          </w:r>
          <w:r w:rsidR="00FB48B6">
            <w:rPr>
              <w:rFonts w:ascii="Cambria" w:hAnsi="Cambria" w:cs="Calibri"/>
              <w:sz w:val="16"/>
              <w:szCs w:val="16"/>
            </w:rPr>
            <w:instrText xml:space="preserve"> NUMPAGES  </w:instrText>
          </w:r>
          <w:r w:rsidR="003016DD">
            <w:rPr>
              <w:rFonts w:ascii="Cambria" w:hAnsi="Cambria" w:cs="Calibri"/>
              <w:sz w:val="16"/>
              <w:szCs w:val="16"/>
            </w:rPr>
            <w:fldChar w:fldCharType="separate"/>
          </w:r>
          <w:r w:rsidR="00EB22C3">
            <w:rPr>
              <w:rFonts w:ascii="Cambria" w:hAnsi="Cambria" w:cs="Calibri"/>
              <w:noProof/>
              <w:sz w:val="16"/>
              <w:szCs w:val="16"/>
            </w:rPr>
            <w:t>3</w:t>
          </w:r>
          <w:r w:rsidR="003016DD">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72FF" w:rsidRDefault="00CD72FF">
      <w:pPr>
        <w:spacing w:after="0"/>
      </w:pPr>
      <w:r>
        <w:separator/>
      </w:r>
    </w:p>
  </w:footnote>
  <w:footnote w:type="continuationSeparator" w:id="0">
    <w:p w:rsidR="00CD72FF" w:rsidRDefault="00CD72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84577"/>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810D2"/>
    <w:rsid w:val="0029297C"/>
    <w:rsid w:val="00293BC4"/>
    <w:rsid w:val="002A64FB"/>
    <w:rsid w:val="002A7A7D"/>
    <w:rsid w:val="002C1992"/>
    <w:rsid w:val="002C2245"/>
    <w:rsid w:val="002D0413"/>
    <w:rsid w:val="002D12FB"/>
    <w:rsid w:val="002D3FFE"/>
    <w:rsid w:val="002D5887"/>
    <w:rsid w:val="002E384F"/>
    <w:rsid w:val="002E7CE9"/>
    <w:rsid w:val="002F6889"/>
    <w:rsid w:val="003016DD"/>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2588"/>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2B0A"/>
    <w:rsid w:val="0043584D"/>
    <w:rsid w:val="004436FD"/>
    <w:rsid w:val="004461AB"/>
    <w:rsid w:val="00452171"/>
    <w:rsid w:val="00456BDF"/>
    <w:rsid w:val="00462A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5862"/>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07660"/>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25850"/>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1109C"/>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2FF"/>
    <w:rsid w:val="00CD73A9"/>
    <w:rsid w:val="00CE1410"/>
    <w:rsid w:val="00CE2A8D"/>
    <w:rsid w:val="00CE442F"/>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22C3"/>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EA009"/>
  <w15:docId w15:val="{00C6EDDE-C526-47F2-8C00-A303CDA50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2">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22D6B-C661-4B4B-BF0F-60BAC09C0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654</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Aldina</cp:lastModifiedBy>
  <cp:revision>8</cp:revision>
  <cp:lastPrinted>2024-03-25T13:56:00Z</cp:lastPrinted>
  <dcterms:created xsi:type="dcterms:W3CDTF">2026-04-24T10:15:00Z</dcterms:created>
  <dcterms:modified xsi:type="dcterms:W3CDTF">2026-04-27T11:16:00Z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